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F6A0B" w:rsidP="0095477A" w14:paraId="30D5E793" w14:textId="77777777">
      <w:pPr>
        <w:rPr>
          <w:rFonts w:ascii="Arial" w:hAnsi="Arial" w:cs="Arial"/>
          <w:sz w:val="24"/>
          <w:szCs w:val="24"/>
        </w:rPr>
      </w:pPr>
    </w:p>
    <w:p w:rsidR="00BF6A0B" w:rsidRPr="00BF6A0B" w:rsidP="00BF6A0B" w14:paraId="1D91E482" w14:textId="1AC2DE8B">
      <w:pPr>
        <w:jc w:val="center"/>
        <w:rPr>
          <w:rFonts w:ascii="Arial" w:hAnsi="Arial" w:cs="Arial"/>
          <w:b/>
          <w:bCs/>
          <w:sz w:val="24"/>
          <w:szCs w:val="24"/>
        </w:rPr>
      </w:pPr>
      <w:r w:rsidRPr="00BF6A0B">
        <w:rPr>
          <w:rFonts w:ascii="Arial" w:hAnsi="Arial" w:cs="Arial"/>
          <w:b/>
          <w:bCs/>
          <w:sz w:val="24"/>
          <w:szCs w:val="24"/>
        </w:rPr>
        <w:t>Transcript Review</w:t>
      </w:r>
    </w:p>
    <w:p w:rsidR="00BF6A0B" w:rsidP="0095477A" w14:paraId="3D88FC05" w14:textId="1D3BE376">
      <w:pPr>
        <w:rPr>
          <w:rFonts w:ascii="Arial" w:hAnsi="Arial" w:cs="Arial"/>
          <w:sz w:val="24"/>
          <w:szCs w:val="24"/>
        </w:rPr>
      </w:pPr>
      <w:r>
        <w:rPr>
          <w:rFonts w:ascii="Arial" w:hAnsi="Arial" w:cs="Arial"/>
          <w:sz w:val="24"/>
          <w:szCs w:val="24"/>
        </w:rPr>
        <w:t>Paragraph 1: Adichie's Similarity with other Essayists</w:t>
      </w:r>
    </w:p>
    <w:p w:rsidR="00BF6A0B" w:rsidP="0095477A" w14:paraId="1FF0D2F2" w14:textId="7573C2A4">
      <w:pPr>
        <w:rPr>
          <w:rFonts w:ascii="Arial" w:hAnsi="Arial" w:cs="Arial"/>
          <w:sz w:val="24"/>
          <w:szCs w:val="24"/>
        </w:rPr>
      </w:pPr>
      <w:r>
        <w:rPr>
          <w:rFonts w:ascii="Arial" w:hAnsi="Arial" w:cs="Arial"/>
          <w:sz w:val="24"/>
          <w:szCs w:val="24"/>
        </w:rPr>
        <w:t>Adichie's speech essay resembles the essay "</w:t>
      </w:r>
      <w:r w:rsidRPr="00D41A32">
        <w:rPr>
          <w:rFonts w:ascii="Arial" w:hAnsi="Arial" w:cs="Arial"/>
          <w:sz w:val="24"/>
          <w:szCs w:val="24"/>
        </w:rPr>
        <w:t>The West Must Confront Anonymous Misery of the World's Children</w:t>
      </w:r>
      <w:r>
        <w:rPr>
          <w:rFonts w:ascii="Arial" w:hAnsi="Arial" w:cs="Arial"/>
          <w:sz w:val="24"/>
          <w:szCs w:val="24"/>
        </w:rPr>
        <w:t>" because both of the essays were persuasive. In both essays, the authors or speakers of the essay start from a specific point that goes into depth. For instance, Adichie starts by expressing the dangers of a single story, but as time passes, she gets into its depth until she touches on society</w:t>
      </w:r>
      <w:r w:rsidR="00BA327D">
        <w:rPr>
          <w:rFonts w:ascii="Arial" w:hAnsi="Arial" w:cs="Arial"/>
          <w:sz w:val="24"/>
          <w:szCs w:val="24"/>
        </w:rPr>
        <w:t>. The latter is similar to the essay " The West Must Confront Anonymous Misery of the world's children." The author starts by stating her thesis on labor and takes the readers to its depth until she proves the essay to be inductive.</w:t>
      </w:r>
      <w:r w:rsidR="00E34375">
        <w:rPr>
          <w:rFonts w:ascii="Arial" w:hAnsi="Arial" w:cs="Arial"/>
          <w:sz w:val="24"/>
          <w:szCs w:val="24"/>
        </w:rPr>
        <w:t xml:space="preserve"> Both essays have a chronological approach towards driving their points home and captivating their respective audience, making them similar in comparison.</w:t>
      </w:r>
    </w:p>
    <w:p w:rsidR="00BF6A0B" w:rsidP="0095477A" w14:paraId="50746B0E" w14:textId="77777777">
      <w:pPr>
        <w:rPr>
          <w:rFonts w:ascii="Arial" w:hAnsi="Arial" w:cs="Arial"/>
          <w:sz w:val="24"/>
          <w:szCs w:val="24"/>
        </w:rPr>
      </w:pPr>
    </w:p>
    <w:p w:rsidR="0095477A" w:rsidP="0095477A" w14:paraId="6616B2E7" w14:textId="1921B77D">
      <w:pPr>
        <w:rPr>
          <w:rFonts w:ascii="Arial" w:hAnsi="Arial" w:cs="Arial"/>
          <w:sz w:val="24"/>
          <w:szCs w:val="24"/>
        </w:rPr>
      </w:pPr>
      <w:r>
        <w:rPr>
          <w:rFonts w:ascii="Arial" w:hAnsi="Arial" w:cs="Arial"/>
          <w:sz w:val="24"/>
          <w:szCs w:val="24"/>
        </w:rPr>
        <w:t>Paragraph 2: Evolutionary and Persuasive Techniques Used</w:t>
      </w:r>
    </w:p>
    <w:p w:rsidR="003D6982" w:rsidRPr="0095477A" w:rsidP="0095477A" w14:paraId="0758F4A3" w14:textId="36B20280">
      <w:pPr>
        <w:ind w:firstLine="720"/>
      </w:pPr>
      <w:r w:rsidRPr="0095477A">
        <w:rPr>
          <w:rFonts w:ascii="Arial" w:hAnsi="Arial" w:cs="Arial"/>
          <w:sz w:val="24"/>
          <w:szCs w:val="24"/>
        </w:rPr>
        <w:t>In Adichie's speech "The Danger of a Single Story," she employs several instances of humor to keep the audience engaged and capture their attention. An example of humor she uses is when she jokes about her college's roommate reaction to her African origin when she asks Adichie asked if she could listen to what she called my 'tribal music' and was consequently very disappointed when I produced my tape of Mariah Carey" (4:13). Through her act of poking her friend's apparent untrue assumption that all Africans/Nigerians only listen to tribal songs, Chimamanda has her audience in agreement that even reducing something as minor as her music preference can give a ridiculous outcome and out of touch. She uses humor to drive her point home and pity and sympathy; an example of this is when she exposes herself by telling of her assumptions about Mexicans being "abject immigrant" until she went to Guadalajara and discovered Mexicans are working, ordinary and happy people. Another instance where she uses pity and sympathy is when she tells of Fide and his family's poverty. At this instance, she opens herself to criticism, an act that makes her more of a human narrator and not just a mere lecture; this brings her close to her audience as they view her to be more of a close friend. By showing her vulnerability, she can connect and capture her audience's attention.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B6EC0"/>
    <w:rsid w:val="003D6982"/>
    <w:rsid w:val="003F78F8"/>
    <w:rsid w:val="00420C63"/>
    <w:rsid w:val="0095477A"/>
    <w:rsid w:val="009B6EC0"/>
    <w:rsid w:val="00BA327D"/>
    <w:rsid w:val="00BF6A0B"/>
    <w:rsid w:val="00D3724F"/>
    <w:rsid w:val="00D41A32"/>
    <w:rsid w:val="00DC7227"/>
    <w:rsid w:val="00E34375"/>
    <w:rsid w:val="00F817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AACB23"/>
  <w15:chartTrackingRefBased/>
  <w15:docId w15:val="{162B34C3-749A-4915-B087-8186F14B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Jackson</cp:lastModifiedBy>
  <cp:revision>3</cp:revision>
  <dcterms:created xsi:type="dcterms:W3CDTF">2021-10-13T00:00:00Z</dcterms:created>
  <dcterms:modified xsi:type="dcterms:W3CDTF">2021-10-13T06:20:00Z</dcterms:modified>
</cp:coreProperties>
</file>